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89439">
      <w:pPr>
        <w:ind w:left="-359" w:leftChars="-171" w:firstLine="177" w:firstLineChars="49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cs="Times New Roman"/>
          <w:b/>
          <w:sz w:val="36"/>
          <w:szCs w:val="36"/>
        </w:rPr>
        <w:t>《</w:t>
      </w:r>
      <w:r>
        <w:rPr>
          <w:rFonts w:hint="eastAsia" w:ascii="Times New Roman" w:hAnsi="Times New Roman" w:cs="Times New Roman"/>
          <w:b/>
          <w:sz w:val="36"/>
          <w:szCs w:val="36"/>
        </w:rPr>
        <w:t>重点排放单位碳计量能力评价规范</w:t>
      </w:r>
      <w:r>
        <w:rPr>
          <w:rFonts w:hint="default" w:ascii="Times New Roman" w:hAnsi="Times New Roman" w:cs="Times New Roman"/>
          <w:b/>
          <w:sz w:val="36"/>
          <w:szCs w:val="36"/>
        </w:rPr>
        <w:t>》</w:t>
      </w:r>
    </w:p>
    <w:p w14:paraId="090EFD45">
      <w:pPr>
        <w:ind w:left="-359" w:leftChars="-171" w:firstLine="177" w:firstLineChars="49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36"/>
          <w:szCs w:val="36"/>
        </w:rPr>
        <w:t>安徽省地方计量技术规范制定说明</w:t>
      </w:r>
    </w:p>
    <w:p w14:paraId="5F36B7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一、任务来源</w:t>
      </w:r>
    </w:p>
    <w:p w14:paraId="3BDD9B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color w:val="FF0000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hint="default" w:ascii="Times New Roman" w:hAnsi="Times New Roman" w:cs="Times New Roman"/>
          <w:sz w:val="28"/>
          <w:szCs w:val="28"/>
        </w:rPr>
        <w:t>《</w:t>
      </w:r>
      <w:r>
        <w:rPr>
          <w:rFonts w:hint="eastAsia" w:ascii="Times New Roman" w:hAnsi="Times New Roman" w:cs="Times New Roman"/>
          <w:sz w:val="28"/>
          <w:szCs w:val="28"/>
        </w:rPr>
        <w:t>重点排放单位碳计量能力评价规范</w:t>
      </w:r>
      <w:r>
        <w:rPr>
          <w:rFonts w:hint="default" w:ascii="Times New Roman" w:hAnsi="Times New Roman" w:cs="Times New Roman"/>
          <w:sz w:val="28"/>
          <w:szCs w:val="28"/>
        </w:rPr>
        <w:t>》安徽省地方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计量技术</w:t>
      </w:r>
      <w:r>
        <w:rPr>
          <w:rFonts w:hint="default" w:ascii="Times New Roman" w:hAnsi="Times New Roman" w:cs="Times New Roman"/>
          <w:sz w:val="28"/>
          <w:szCs w:val="28"/>
        </w:rPr>
        <w:t>规范的制定任务，是由安徽省市场监督管理局以皖市监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办</w:t>
      </w:r>
      <w:r>
        <w:rPr>
          <w:rFonts w:hint="default" w:ascii="Times New Roman" w:hAnsi="Times New Roman" w:cs="Times New Roman"/>
          <w:sz w:val="28"/>
          <w:szCs w:val="28"/>
        </w:rPr>
        <w:t>函〔202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</w:rPr>
        <w:t>〕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112</w:t>
      </w:r>
      <w:r>
        <w:rPr>
          <w:rFonts w:hint="default" w:ascii="Times New Roman" w:hAnsi="Times New Roman" w:cs="Times New Roman"/>
          <w:sz w:val="28"/>
          <w:szCs w:val="28"/>
        </w:rPr>
        <w:t>号文下达的，由安徽省计量科学研究院主要起草。</w:t>
      </w:r>
    </w:p>
    <w:p w14:paraId="6F5777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二、规范制定的必要性</w:t>
      </w:r>
    </w:p>
    <w:p w14:paraId="53334A2F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right="0" w:firstLine="560" w:firstLineChars="200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为贯彻落实国家碳达峰碳中和战略目标</w:t>
      </w:r>
      <w:bookmarkStart w:id="0" w:name="_GoBack"/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，</w:t>
      </w:r>
      <w:bookmarkEnd w:id="0"/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安徽省正加快推进重点排放单位温室气体排放数据的规范化、精准化管理。重点排放单位（如电力、钢铁、水泥、石化等行业）是碳排放的主要来源，其碳计量能力直接影响排放数据的准确性和可信度。</w:t>
      </w:r>
    </w:p>
    <w:p w14:paraId="3854D794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right="0" w:firstLine="560" w:firstLineChars="200"/>
        <w:textAlignment w:val="auto"/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当前，部分重点排放单位在碳计量管理、人员配置、计量器具配备、数据采集与核算等方面仍存在短板，缺乏统一、可量化的评价依据。制定《重点排放单位碳计量能力评价规范》具有以下重要意义：</w:t>
      </w:r>
    </w:p>
    <w:p w14:paraId="50FB2059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right="0" w:firstLine="560" w:firstLineChars="200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支撑碳数据质量提升：通过规范碳计量管理、核算方法和能力评价指标，推动重点排放单位提升碳排放数据的真实性和准确性，为碳排放权交易、碳减排目标考核提供可靠数据基础。</w:t>
      </w:r>
    </w:p>
    <w:p w14:paraId="23026420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right="0" w:firstLine="560" w:firstLineChars="200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统一评价依据：建立以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“碳排放计量率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（CEMR）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”和“碳排放实测数据计量率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（CDMR）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”为核心的评价体系，</w:t>
      </w: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形成统一、可量化的碳计量能力分级标准（A级～D级），便于企业自评、政府监管和第三方评价。</w:t>
      </w:r>
    </w:p>
    <w:p w14:paraId="6E9AD764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right="0" w:firstLine="560" w:firstLineChars="200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推动实测法应用：鼓励重点排放单位优先采用实测法核算碳排放，提升烟气排放连续监测系统（CEMS）等在线监测设备的配备率和数据利用率，逐步减少对排放因子法的依赖。</w:t>
      </w:r>
    </w:p>
    <w:p w14:paraId="4F844439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right="0" w:firstLine="560" w:firstLineChars="200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服务碳达峰碳中和监管体系：为行政主管部门开展碳计量审查、碳数据质量监督提供技术支撑，助力构建绿色低碳高质量发展监管体系。</w:t>
      </w:r>
    </w:p>
    <w:p w14:paraId="67663D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三、规范制定的主要技术依据及原则</w:t>
      </w:r>
    </w:p>
    <w:p w14:paraId="6C95327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GB 17167-2006    用能单位能源计量器具配备和管理通则</w:t>
      </w:r>
    </w:p>
    <w:p w14:paraId="4C5479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JJF 1001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-2011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通用计量术语及定义</w:t>
      </w:r>
    </w:p>
    <w:p w14:paraId="4F41F7A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GB/T 2589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-2020</w:t>
      </w:r>
      <w:r>
        <w:rPr>
          <w:rFonts w:hint="default" w:ascii="Times New Roman" w:hAnsi="Times New Roman" w:cs="Times New Roman"/>
          <w:sz w:val="28"/>
          <w:szCs w:val="28"/>
        </w:rPr>
        <w:t xml:space="preserve">   综合能耗计算通则</w:t>
      </w:r>
    </w:p>
    <w:p w14:paraId="4319DB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JJF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2309</w:t>
      </w:r>
      <w:r>
        <w:rPr>
          <w:rFonts w:hint="default" w:ascii="Times New Roman" w:hAnsi="Times New Roman" w:cs="Times New Roman"/>
          <w:sz w:val="28"/>
          <w:szCs w:val="28"/>
        </w:rPr>
        <w:t>-20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25</w:t>
      </w:r>
      <w:r>
        <w:rPr>
          <w:rFonts w:hint="default" w:ascii="Times New Roman" w:hAnsi="Times New Roman" w:cs="Times New Roman"/>
          <w:sz w:val="28"/>
          <w:szCs w:val="28"/>
        </w:rPr>
        <w:t xml:space="preserve">    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重点</w:t>
      </w:r>
      <w:r>
        <w:rPr>
          <w:rFonts w:hint="eastAsia" w:ascii="Times New Roman" w:hAnsi="Times New Roman" w:cs="Times New Roman"/>
          <w:sz w:val="28"/>
          <w:szCs w:val="28"/>
        </w:rPr>
        <w:t>排放单位碳排放计量审查规范</w:t>
      </w:r>
    </w:p>
    <w:p w14:paraId="632FDA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GB 32150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-2015    工业企业温室气体排放核算和报告通则</w:t>
      </w:r>
    </w:p>
    <w:p w14:paraId="2197D6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textAlignment w:val="auto"/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四、规范制定过程及计划</w:t>
      </w:r>
    </w:p>
    <w:p w14:paraId="21D751E1"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1.202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</w:t>
      </w:r>
      <w:r>
        <w:rPr>
          <w:rFonts w:hint="default" w:ascii="Times New Roman" w:hAnsi="Times New Roman" w:cs="Times New Roman"/>
          <w:sz w:val="28"/>
          <w:szCs w:val="28"/>
        </w:rPr>
        <w:t>月，组成制定小组。</w:t>
      </w:r>
    </w:p>
    <w:p w14:paraId="30B5697A"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2.202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11</w:t>
      </w:r>
      <w:r>
        <w:rPr>
          <w:rFonts w:hint="default" w:ascii="Times New Roman" w:hAnsi="Times New Roman" w:cs="Times New Roman"/>
          <w:sz w:val="28"/>
          <w:szCs w:val="28"/>
        </w:rPr>
        <w:t>月至202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</w:rPr>
        <w:t>月，进行调研、试验和制定工作。</w:t>
      </w:r>
    </w:p>
    <w:p w14:paraId="0C094835"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3.202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</w:rPr>
        <w:t>月至202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</w:rPr>
        <w:t>月，形成制定初稿，起草小组讨论后形成征求意见稿，并开始征求意见。</w:t>
      </w:r>
    </w:p>
    <w:p w14:paraId="499C03AE"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4.202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</w:rPr>
        <w:t>月，起草单位对反馈进行综合分析，形成了征求意见汇总表，在讨论和征求意见的基础上，对征求意见稿进行了修改，形成了规范送审稿。</w:t>
      </w:r>
    </w:p>
    <w:p w14:paraId="515182B8">
      <w:pPr>
        <w:rPr>
          <w:rFonts w:hint="default" w:ascii="Times New Roman" w:hAnsi="Times New Roman" w:cs="Times New Roman"/>
          <w:b/>
          <w:sz w:val="30"/>
          <w:szCs w:val="30"/>
        </w:rPr>
      </w:pPr>
      <w:r>
        <w:rPr>
          <w:rFonts w:hint="default" w:ascii="Times New Roman" w:hAnsi="Times New Roman" w:cs="Times New Roman"/>
          <w:b/>
          <w:sz w:val="30"/>
          <w:szCs w:val="30"/>
        </w:rPr>
        <w:t>五、规范制定过程的要点及说明</w:t>
      </w:r>
    </w:p>
    <w:p w14:paraId="002BDCBD">
      <w:pPr>
        <w:pStyle w:val="9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left="0" w:right="0" w:firstLine="560" w:firstLineChars="200"/>
        <w:textAlignment w:val="auto"/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本规范不同于传统计量校准规范，其重点不在于不确定度评定，而在于碳计量管理体系、数据来源的计量属性及能力分级评价。主要技术要点说明如下：</w:t>
      </w:r>
    </w:p>
    <w:p w14:paraId="41331F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 w:val="0"/>
          <w:bCs w:val="0"/>
          <w:kern w:val="2"/>
          <w:sz w:val="28"/>
          <w:szCs w:val="28"/>
          <w:lang w:val="en-US" w:eastAsia="zh-CN" w:bidi="ar-SA"/>
        </w:rPr>
        <w:t>1、</w:t>
      </w:r>
      <w:r>
        <w:rPr>
          <w:rFonts w:hint="default" w:ascii="Times New Roman" w:hAnsi="Times New Roman" w:eastAsia="宋体" w:cs="Times New Roman"/>
          <w:b w:val="0"/>
          <w:bCs w:val="0"/>
          <w:kern w:val="2"/>
          <w:sz w:val="28"/>
          <w:szCs w:val="28"/>
          <w:lang w:val="en-US" w:eastAsia="zh-CN" w:bidi="ar-SA"/>
        </w:rPr>
        <w:t>本规范提出碳排放计量率（CEMR） 和碳排放实测数据计量率（CDMR） 两个核心指标</w:t>
      </w:r>
      <w:r>
        <w:rPr>
          <w:rFonts w:hint="eastAsia" w:ascii="Times New Roman" w:hAnsi="Times New Roman" w:cs="Times New Roman"/>
          <w:b w:val="0"/>
          <w:bCs w:val="0"/>
          <w:kern w:val="2"/>
          <w:sz w:val="28"/>
          <w:szCs w:val="28"/>
          <w:lang w:val="en-US" w:eastAsia="zh-CN" w:bidi="ar-SA"/>
        </w:rPr>
        <w:t>，</w:t>
      </w:r>
      <w:r>
        <w:rPr>
          <w:rFonts w:hint="default" w:ascii="Times New Roman" w:hAnsi="Times New Roman" w:cs="Times New Roman"/>
          <w:sz w:val="28"/>
          <w:szCs w:val="28"/>
        </w:rPr>
        <w:t>两个指标分别从</w:t>
      </w:r>
      <w:r>
        <w:rPr>
          <w:rFonts w:hint="eastAsia" w:ascii="宋体" w:hAnsi="宋体" w:eastAsia="宋体" w:cs="宋体"/>
          <w:sz w:val="28"/>
          <w:szCs w:val="28"/>
        </w:rPr>
        <w:t>“计量覆盖”和“实测水平”</w:t>
      </w:r>
      <w:r>
        <w:rPr>
          <w:rFonts w:hint="default" w:ascii="Times New Roman" w:hAnsi="Times New Roman" w:cs="Times New Roman"/>
          <w:sz w:val="28"/>
          <w:szCs w:val="28"/>
        </w:rPr>
        <w:t>两个维度评价碳计量能力，避免单一指标带来的片面性。</w:t>
      </w:r>
    </w:p>
    <w:p w14:paraId="22924A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2、</w:t>
      </w:r>
      <w:r>
        <w:rPr>
          <w:rFonts w:hint="default" w:ascii="Times New Roman" w:hAnsi="Times New Roman" w:cs="Times New Roman"/>
          <w:sz w:val="28"/>
          <w:szCs w:val="28"/>
        </w:rPr>
        <w:t>根据CEMR和CDMR的组合，设置A级（优秀）、B级（良好）、C级（合格）、D级（不合格）四个等级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，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四个等级的划分</w:t>
      </w:r>
      <w:r>
        <w:rPr>
          <w:rFonts w:hint="default" w:ascii="Times New Roman" w:hAnsi="Times New Roman" w:cs="Times New Roman"/>
          <w:sz w:val="28"/>
          <w:szCs w:val="28"/>
        </w:rPr>
        <w:t>体现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出重点排放单位</w:t>
      </w:r>
      <w:r>
        <w:rPr>
          <w:rFonts w:hint="default" w:ascii="Times New Roman" w:hAnsi="Times New Roman" w:cs="Times New Roman"/>
          <w:sz w:val="28"/>
          <w:szCs w:val="28"/>
        </w:rPr>
        <w:t>分阶段、可落地的推进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碳计量能力的提升</w:t>
      </w:r>
      <w:r>
        <w:rPr>
          <w:rFonts w:hint="default" w:ascii="Times New Roman" w:hAnsi="Times New Roman" w:cs="Times New Roman"/>
          <w:sz w:val="28"/>
          <w:szCs w:val="28"/>
        </w:rPr>
        <w:t>。</w:t>
      </w:r>
    </w:p>
    <w:p w14:paraId="2B9E659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3、本规范</w:t>
      </w:r>
      <w:r>
        <w:rPr>
          <w:rFonts w:hint="default" w:ascii="Times New Roman" w:hAnsi="Times New Roman" w:cs="Times New Roman"/>
          <w:sz w:val="28"/>
          <w:szCs w:val="28"/>
        </w:rPr>
        <w:t>规定了实测法和计算法下不同排放源类型（主要/次要/微量源流）的计量器具配备率要求。</w:t>
      </w:r>
    </w:p>
    <w:p w14:paraId="13AA4E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4、本规范</w:t>
      </w:r>
      <w:r>
        <w:rPr>
          <w:rFonts w:hint="default" w:ascii="Times New Roman" w:hAnsi="Times New Roman" w:cs="Times New Roman"/>
          <w:sz w:val="28"/>
          <w:szCs w:val="28"/>
        </w:rPr>
        <w:t>明确了评价组构成、评价资料、资料审核、现场评价和评价报告要求，现场评价包括资料验证、人员问询、系统演示、CEMS抽查测试等方式，确保评价工作规范、可执行。</w:t>
      </w:r>
    </w:p>
    <w:p w14:paraId="20EFD3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以上是制定此规范的制定说明，再请各位专家进行讨论，提出宝贵意见。</w:t>
      </w:r>
    </w:p>
    <w:p w14:paraId="6D70C4E1">
      <w:pPr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</w:p>
    <w:p w14:paraId="0D3FD795">
      <w:pPr>
        <w:ind w:left="1540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《</w:t>
      </w:r>
      <w:r>
        <w:rPr>
          <w:rFonts w:hint="eastAsia" w:ascii="Times New Roman" w:hAnsi="Times New Roman" w:cs="Times New Roman"/>
          <w:sz w:val="28"/>
          <w:szCs w:val="28"/>
        </w:rPr>
        <w:t>重点排放单位碳计量能力评价规范</w:t>
      </w:r>
      <w:r>
        <w:rPr>
          <w:rFonts w:hint="default" w:ascii="Times New Roman" w:hAnsi="Times New Roman" w:cs="Times New Roman"/>
          <w:sz w:val="28"/>
          <w:szCs w:val="28"/>
        </w:rPr>
        <w:t>》地方技术规范</w:t>
      </w:r>
    </w:p>
    <w:p w14:paraId="506A4806">
      <w:pPr>
        <w:ind w:left="1540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制定小组</w:t>
      </w:r>
    </w:p>
    <w:p w14:paraId="2C6DF4E2">
      <w:pPr>
        <w:ind w:left="5740" w:firstLine="140" w:firstLineChars="50"/>
        <w:jc w:val="righ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202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6</w:t>
      </w:r>
      <w:r>
        <w:rPr>
          <w:rFonts w:hint="default" w:ascii="Times New Roman" w:hAnsi="Times New Roman" w:cs="Times New Roman"/>
          <w:sz w:val="28"/>
          <w:szCs w:val="28"/>
        </w:rPr>
        <w:t>年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</w:rPr>
        <w:t>月</w:t>
      </w:r>
    </w:p>
    <w:sectPr>
      <w:pgSz w:w="11906" w:h="16838"/>
      <w:pgMar w:top="1440" w:right="1466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yNmZlOWFmYTBiOTI5NTI4N2IxMGI4YmYxMmJmZjkifQ=="/>
  </w:docVars>
  <w:rsids>
    <w:rsidRoot w:val="0009426A"/>
    <w:rsid w:val="00017197"/>
    <w:rsid w:val="00065686"/>
    <w:rsid w:val="0009426A"/>
    <w:rsid w:val="000A24DA"/>
    <w:rsid w:val="000B61E6"/>
    <w:rsid w:val="000D0333"/>
    <w:rsid w:val="000E6CDB"/>
    <w:rsid w:val="000F4388"/>
    <w:rsid w:val="00125154"/>
    <w:rsid w:val="001475A2"/>
    <w:rsid w:val="00162DA4"/>
    <w:rsid w:val="001675FB"/>
    <w:rsid w:val="001B258A"/>
    <w:rsid w:val="001C662E"/>
    <w:rsid w:val="001D5130"/>
    <w:rsid w:val="00280546"/>
    <w:rsid w:val="00282111"/>
    <w:rsid w:val="002B41AD"/>
    <w:rsid w:val="0031193A"/>
    <w:rsid w:val="00342902"/>
    <w:rsid w:val="00352AC3"/>
    <w:rsid w:val="0040305E"/>
    <w:rsid w:val="004411E5"/>
    <w:rsid w:val="00447167"/>
    <w:rsid w:val="00461C15"/>
    <w:rsid w:val="004C4680"/>
    <w:rsid w:val="004F30EF"/>
    <w:rsid w:val="005353A1"/>
    <w:rsid w:val="00565054"/>
    <w:rsid w:val="00574167"/>
    <w:rsid w:val="0058515D"/>
    <w:rsid w:val="005E1693"/>
    <w:rsid w:val="00611E66"/>
    <w:rsid w:val="00626A1C"/>
    <w:rsid w:val="00662C1A"/>
    <w:rsid w:val="00665400"/>
    <w:rsid w:val="006B2716"/>
    <w:rsid w:val="00781F66"/>
    <w:rsid w:val="00783594"/>
    <w:rsid w:val="00800B2D"/>
    <w:rsid w:val="0088387F"/>
    <w:rsid w:val="00902BC2"/>
    <w:rsid w:val="00947DB8"/>
    <w:rsid w:val="00950634"/>
    <w:rsid w:val="009619E0"/>
    <w:rsid w:val="00961EDE"/>
    <w:rsid w:val="00971978"/>
    <w:rsid w:val="0099561B"/>
    <w:rsid w:val="009A2D06"/>
    <w:rsid w:val="009C54D9"/>
    <w:rsid w:val="009F1BA6"/>
    <w:rsid w:val="00A42E8D"/>
    <w:rsid w:val="00A4789D"/>
    <w:rsid w:val="00A60275"/>
    <w:rsid w:val="00AD3E56"/>
    <w:rsid w:val="00AE283D"/>
    <w:rsid w:val="00B04133"/>
    <w:rsid w:val="00B359CC"/>
    <w:rsid w:val="00BC407E"/>
    <w:rsid w:val="00C10655"/>
    <w:rsid w:val="00C6382C"/>
    <w:rsid w:val="00C87AB2"/>
    <w:rsid w:val="00CB1C4F"/>
    <w:rsid w:val="00CC3B7D"/>
    <w:rsid w:val="00CD3697"/>
    <w:rsid w:val="00CE0145"/>
    <w:rsid w:val="00D067C0"/>
    <w:rsid w:val="00D07BD5"/>
    <w:rsid w:val="00D35B81"/>
    <w:rsid w:val="00D4236A"/>
    <w:rsid w:val="00D75053"/>
    <w:rsid w:val="00D963B8"/>
    <w:rsid w:val="00E16193"/>
    <w:rsid w:val="00E83BB8"/>
    <w:rsid w:val="00E910FC"/>
    <w:rsid w:val="00EA271A"/>
    <w:rsid w:val="00EC6F6B"/>
    <w:rsid w:val="00F104BA"/>
    <w:rsid w:val="00F1118A"/>
    <w:rsid w:val="00F4083C"/>
    <w:rsid w:val="00F55F95"/>
    <w:rsid w:val="00F744FC"/>
    <w:rsid w:val="00F95E88"/>
    <w:rsid w:val="00FE7DB1"/>
    <w:rsid w:val="00FF52FF"/>
    <w:rsid w:val="038A3255"/>
    <w:rsid w:val="0E446FF7"/>
    <w:rsid w:val="12063BE7"/>
    <w:rsid w:val="144F042C"/>
    <w:rsid w:val="1504525C"/>
    <w:rsid w:val="15520942"/>
    <w:rsid w:val="18842E6B"/>
    <w:rsid w:val="1B431F96"/>
    <w:rsid w:val="1DC754C6"/>
    <w:rsid w:val="28731A01"/>
    <w:rsid w:val="2A7D1C0A"/>
    <w:rsid w:val="2D28301E"/>
    <w:rsid w:val="2DAA1D47"/>
    <w:rsid w:val="2DDC5BC7"/>
    <w:rsid w:val="31BA4262"/>
    <w:rsid w:val="34467721"/>
    <w:rsid w:val="3C2C5085"/>
    <w:rsid w:val="3D037D04"/>
    <w:rsid w:val="3E9071A2"/>
    <w:rsid w:val="4553050C"/>
    <w:rsid w:val="4B794EA2"/>
    <w:rsid w:val="4C2770AD"/>
    <w:rsid w:val="4C2D480F"/>
    <w:rsid w:val="4CBE1CBB"/>
    <w:rsid w:val="51C770FB"/>
    <w:rsid w:val="579A5EF0"/>
    <w:rsid w:val="5A407A4A"/>
    <w:rsid w:val="5AB20948"/>
    <w:rsid w:val="5B832963"/>
    <w:rsid w:val="5CD61CDB"/>
    <w:rsid w:val="60CE5879"/>
    <w:rsid w:val="67D85401"/>
    <w:rsid w:val="68CE06A0"/>
    <w:rsid w:val="6CCC32AF"/>
    <w:rsid w:val="6DBE0A35"/>
    <w:rsid w:val="6FAD753B"/>
    <w:rsid w:val="718C25ED"/>
    <w:rsid w:val="72B30096"/>
    <w:rsid w:val="7572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1855"/>
      <w:outlineLvl w:val="1"/>
    </w:pPr>
    <w:rPr>
      <w:rFonts w:ascii="黑体" w:eastAsia="黑体"/>
      <w:sz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6"/>
    <w:qFormat/>
    <w:uiPriority w:val="0"/>
    <w:pPr>
      <w:spacing w:after="12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ody Text Indent 2"/>
    <w:basedOn w:val="1"/>
    <w:qFormat/>
    <w:uiPriority w:val="0"/>
    <w:pPr>
      <w:ind w:firstLine="600" w:firstLineChars="200"/>
      <w:jc w:val="left"/>
    </w:pPr>
    <w:rPr>
      <w:sz w:val="30"/>
    </w:r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iPriority w:val="0"/>
    <w:rPr>
      <w:sz w:val="24"/>
    </w:rPr>
  </w:style>
  <w:style w:type="paragraph" w:customStyle="1" w:styleId="12">
    <w:name w:val="Normal_6"/>
    <w:qFormat/>
    <w:uiPriority w:val="0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paragraph" w:customStyle="1" w:styleId="13">
    <w:name w:val="Normal_5"/>
    <w:qFormat/>
    <w:uiPriority w:val="0"/>
    <w:pPr>
      <w:spacing w:before="120" w:after="240"/>
      <w:jc w:val="both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character" w:customStyle="1" w:styleId="14">
    <w:name w:val="页眉 Char"/>
    <w:link w:val="8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7"/>
    <w:qFormat/>
    <w:uiPriority w:val="0"/>
    <w:rPr>
      <w:kern w:val="2"/>
      <w:sz w:val="18"/>
      <w:szCs w:val="18"/>
    </w:rPr>
  </w:style>
  <w:style w:type="character" w:customStyle="1" w:styleId="16">
    <w:name w:val="正文文本 Char"/>
    <w:basedOn w:val="11"/>
    <w:link w:val="4"/>
    <w:qFormat/>
    <w:uiPriority w:val="0"/>
    <w:rPr>
      <w:rFonts w:ascii="Calibri" w:hAnsi="Calibr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aaa</Company>
  <Pages>3</Pages>
  <Words>1384</Words>
  <Characters>1512</Characters>
  <Lines>9</Lines>
  <Paragraphs>2</Paragraphs>
  <TotalTime>38</TotalTime>
  <ScaleCrop>false</ScaleCrop>
  <LinksUpToDate>false</LinksUpToDate>
  <CharactersWithSpaces>1549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2020-04-02T07:48:00Z</dcterms:created>
  <dc:creator>aaa</dc:creator>
  <cp:lastModifiedBy>王</cp:lastModifiedBy>
  <cp:lastPrinted>2011-01-17T06:24:00Z</cp:lastPrinted>
  <dcterms:modified xsi:type="dcterms:W3CDTF">2026-05-12T03:16:27Z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9D64F268F5BC423FA5FCBB42D95B4706</vt:lpwstr>
  </property>
  <property fmtid="{D5CDD505-2E9C-101B-9397-08002B2CF9AE}" pid="4" name="KSOTemplateDocerSaveRecord">
    <vt:lpwstr>eyJoZGlkIjoiODQ5NjkzN2ZlZjQxZjYzMzcyZDI3NmZhNzYzYWFlNDAiLCJ1c2VySWQiOiIxMzk3ODE3NTYyIn0=</vt:lpwstr>
  </property>
</Properties>
</file>